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79" w:rsidRDefault="00515044">
      <w:pPr>
        <w:spacing w:after="319"/>
        <w:ind w:right="287" w:firstLine="0"/>
      </w:pPr>
      <w:r>
        <w:t>Новое в законодательстве на 16.05.2024</w:t>
      </w:r>
    </w:p>
    <w:p w:rsidR="00617F79" w:rsidRPr="00515044" w:rsidRDefault="00515044">
      <w:pPr>
        <w:spacing w:after="17" w:line="225" w:lineRule="auto"/>
        <w:ind w:left="62" w:right="292" w:firstLine="691"/>
        <w:rPr>
          <w:b/>
        </w:rPr>
      </w:pPr>
      <w:r w:rsidRPr="00515044">
        <w:rPr>
          <w:b/>
          <w:sz w:val="30"/>
        </w:rPr>
        <w:t>Федеральный закон от 15 мая 2024 г. N 99-Ф3 ”О внесении изменений в Федеральный закон ”06 основных гарантиях избирательных прав и права на участие в референдуме граждан Российской Федерации“ и отдельные законодательные акты Российской</w:t>
      </w:r>
    </w:p>
    <w:p w:rsidR="00617F79" w:rsidRPr="00515044" w:rsidRDefault="00515044">
      <w:pPr>
        <w:spacing w:after="43" w:line="225" w:lineRule="auto"/>
        <w:ind w:left="62" w:right="292" w:firstLine="0"/>
        <w:rPr>
          <w:b/>
        </w:rPr>
      </w:pPr>
      <w:r w:rsidRPr="00515044">
        <w:rPr>
          <w:b/>
          <w:sz w:val="30"/>
        </w:rPr>
        <w:t>Федерации“</w:t>
      </w:r>
    </w:p>
    <w:p w:rsidR="00617F79" w:rsidRDefault="00515044">
      <w:pPr>
        <w:spacing w:after="43" w:line="225" w:lineRule="auto"/>
        <w:ind w:left="763" w:right="292" w:firstLine="0"/>
      </w:pPr>
      <w:r>
        <w:rPr>
          <w:sz w:val="30"/>
        </w:rPr>
        <w:t>Иноагентам закрыта дорога на выборы.</w:t>
      </w:r>
    </w:p>
    <w:p w:rsidR="00617F79" w:rsidRDefault="00515044">
      <w:pPr>
        <w:ind w:left="71" w:right="287"/>
      </w:pPr>
      <w:r>
        <w:t>Избирком не должен отклонять весь список выдвигаемых кандидатов из-за опечаток в данных одного из них. Ошибки (опечатки) являются основанием для исключения соответствующего кандидата из списка до его заверения.</w:t>
      </w:r>
    </w:p>
    <w:p w:rsidR="00617F79" w:rsidRDefault="00515044">
      <w:pPr>
        <w:ind w:left="71" w:right="287"/>
      </w:pPr>
      <w:r>
        <w:t>Иноагенты не могут претендовать на осуществление полномочий сенатора.</w:t>
      </w:r>
    </w:p>
    <w:p w:rsidR="00617F79" w:rsidRDefault="00515044">
      <w:pPr>
        <w:ind w:left="71" w:right="287"/>
      </w:pPr>
      <w:r>
        <w:t>Лица, включенные в реестр причастных к деятельности экстремистской или террористической организации, лица, подвергнутые административной ответственности за демонстрацию экстремистской символики, не могут быть членами избиркомов с правом решающего голоса.</w:t>
      </w:r>
    </w:p>
    <w:p w:rsidR="00617F79" w:rsidRDefault="00515044">
      <w:pPr>
        <w:ind w:left="71" w:right="287"/>
      </w:pPr>
      <w:r>
        <w:t>Наблюдателями, уполномоченными представителями, доверенными лицами кандидатов и избирательных объединений не могут быть иноагенты и лица, включенные в реестр причастных к экстремизму или терроризму.</w:t>
      </w:r>
    </w:p>
    <w:p w:rsidR="00617F79" w:rsidRDefault="00515044">
      <w:pPr>
        <w:ind w:left="71" w:right="287"/>
      </w:pPr>
      <w:r>
        <w:t>При проведении выборов всех уровней кандидат обязан к моменту представления документов для регистрации прекратить статус иноагента. Если в заявлении о согласии баллотироваться были указаны сведения о том, что кандидат является иноагентом, то в избирком надо представить уведомление Минюста об исключении кандидата из реестра иноагентов либо соответствующее решение суда.</w:t>
      </w:r>
    </w:p>
    <w:p w:rsidR="00617F79" w:rsidRDefault="00515044">
      <w:pPr>
        <w:ind w:left="71" w:right="287"/>
      </w:pPr>
      <w:r>
        <w:t>При этом уже зарегистрированный кандидат не может быть включен в реестр иноагентов. Однако регистрацию кандидата можно отменить при установлении факта наличия у него статуса иноагента.</w:t>
      </w:r>
    </w:p>
    <w:p w:rsidR="00617F79" w:rsidRDefault="00515044">
      <w:pPr>
        <w:ind w:left="71" w:right="287"/>
      </w:pPr>
      <w:r>
        <w:t>Полномочия сенатора, депутата Госдумы, депутата, члена выборного органа и выборного должностного лица местного самоуправления, члена Совета и главы администрации федеральной территории” Сириус” будут прекращаться досрочно в случае приобретения ими статуса иноагента. Закон вступает в силу со дня опубликования.</w:t>
      </w:r>
    </w:p>
    <w:p w:rsidR="00617F79" w:rsidRDefault="00515044">
      <w:pPr>
        <w:spacing w:after="336"/>
        <w:ind w:left="71" w:right="287"/>
      </w:pPr>
      <w:r>
        <w:t>Полномочия лиц, которые на этот момент включены в реестр иноагентов и замещают должности в органах публичной власти, прекращаются досрочно, если в течение 180 дней они не будут исключены из реестра.</w:t>
      </w:r>
    </w:p>
    <w:p w:rsidR="00617F79" w:rsidRPr="00515044" w:rsidRDefault="00515044">
      <w:pPr>
        <w:spacing w:after="17" w:line="225" w:lineRule="auto"/>
        <w:ind w:left="62" w:right="292" w:firstLine="691"/>
        <w:rPr>
          <w:b/>
        </w:rPr>
      </w:pPr>
      <w:r w:rsidRPr="00515044">
        <w:rPr>
          <w:b/>
          <w:sz w:val="30"/>
        </w:rPr>
        <w:t>Постановление Правительства Российской Федерации от 30 апреля 2024 г. N 556 ”06 утверждении перечня мероприятий по оценке качества образования и Правил проведения мероприятий по оценке качества образования“</w:t>
      </w:r>
    </w:p>
    <w:p w:rsidR="00617F79" w:rsidRDefault="00515044" w:rsidP="00515044">
      <w:pPr>
        <w:spacing w:after="77"/>
        <w:ind w:left="71" w:right="287"/>
      </w:pPr>
      <w:r>
        <w:lastRenderedPageBreak/>
        <w:t>Разработан перечень мероприятий, по оценке качества образования. С сентября 2024 г. в России заработает федеральная информационная система оценки качества образования. В связи с этим установлены перечень и правила проведения мероприятий по оценке качества образования, которые будут проводить в рамках мониторинга системы образования.</w:t>
      </w:r>
    </w:p>
    <w:p w:rsidR="00617F79" w:rsidRDefault="00515044">
      <w:pPr>
        <w:spacing w:after="330"/>
        <w:ind w:left="71" w:right="287"/>
      </w:pPr>
      <w:r>
        <w:t>Предусмотрены национальные и международные сопоставительные исследования качества общего образования, ВПР в школах и техникумах. Постановление вступает в силу с 1 сентября 2024 г. и действует до 1 сентября 2027 г.</w:t>
      </w:r>
    </w:p>
    <w:p w:rsidR="00617F79" w:rsidRPr="00515044" w:rsidRDefault="00515044">
      <w:pPr>
        <w:spacing w:after="0" w:line="259" w:lineRule="auto"/>
        <w:ind w:left="0" w:right="312" w:firstLine="0"/>
        <w:jc w:val="right"/>
        <w:rPr>
          <w:b/>
        </w:rPr>
      </w:pPr>
      <w:r w:rsidRPr="00515044">
        <w:rPr>
          <w:b/>
          <w:sz w:val="30"/>
        </w:rPr>
        <w:t>Постановление Правительства Российской Федерации от 27 апреля</w:t>
      </w:r>
    </w:p>
    <w:p w:rsidR="00617F79" w:rsidRPr="00515044" w:rsidRDefault="00515044">
      <w:pPr>
        <w:spacing w:after="17" w:line="225" w:lineRule="auto"/>
        <w:ind w:left="67" w:right="292" w:hanging="5"/>
        <w:rPr>
          <w:b/>
        </w:rPr>
      </w:pPr>
      <w:r w:rsidRPr="00515044">
        <w:rPr>
          <w:b/>
          <w:sz w:val="30"/>
        </w:rPr>
        <w:t>2024 г. N 552 порядке поощрения и награждения за добровольческую (волонтерскую) деятельность нагрудным знаком”Доброволец России“</w:t>
      </w:r>
    </w:p>
    <w:p w:rsidR="00617F79" w:rsidRDefault="00515044">
      <w:pPr>
        <w:spacing w:after="99" w:line="225" w:lineRule="auto"/>
        <w:ind w:left="62" w:right="292" w:firstLine="691"/>
      </w:pPr>
      <w:r>
        <w:rPr>
          <w:sz w:val="30"/>
        </w:rPr>
        <w:t>Определен порядок награждения нагрудным знаком ”Доброволец России ”</w:t>
      </w:r>
      <w:r>
        <w:rPr>
          <w:noProof/>
        </w:rPr>
        <w:drawing>
          <wp:inline distT="0" distB="0" distL="0" distR="0">
            <wp:extent cx="30480" cy="36587"/>
            <wp:effectExtent l="0" t="0" r="0" b="0"/>
            <wp:docPr id="3962" name="Picture 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" name="Picture 396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79" w:rsidRDefault="00515044">
      <w:pPr>
        <w:ind w:left="71" w:right="287"/>
      </w:pPr>
      <w:r>
        <w:t>Нагрудным знаком” Доброволец России“ решено награждать граждан, которые были заняты в добровольческой (волонтерской) деятельности не менее 500 часов за З года, предшествующих представлению к награждению, и которые внесли значительный вклад в такую деятельность на территории России.</w:t>
      </w:r>
    </w:p>
    <w:p w:rsidR="00617F79" w:rsidRDefault="00515044">
      <w:pPr>
        <w:spacing w:after="326"/>
        <w:ind w:left="71" w:right="287"/>
      </w:pPr>
      <w:r>
        <w:t>Без учета этих требований будут награждать добровольцев, которые совершили героический поступок и проявили мужество и отвагу. Награждать будет Росмолодежь не реже одного раза в год. Определен порядок.</w:t>
      </w:r>
    </w:p>
    <w:p w:rsidR="00617F79" w:rsidRPr="00515044" w:rsidRDefault="00515044">
      <w:pPr>
        <w:spacing w:after="60" w:line="225" w:lineRule="auto"/>
        <w:ind w:left="62" w:right="292" w:firstLine="691"/>
        <w:rPr>
          <w:b/>
        </w:rPr>
      </w:pPr>
      <w:r w:rsidRPr="00515044">
        <w:rPr>
          <w:b/>
          <w:sz w:val="30"/>
        </w:rPr>
        <w:t>Постановление Правительства Российской Федерации от З мая 2024 г. N 564”Об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выплат“</w:t>
      </w:r>
    </w:p>
    <w:p w:rsidR="00617F79" w:rsidRDefault="00515044" w:rsidP="00515044">
      <w:pPr>
        <w:spacing w:after="17" w:line="225" w:lineRule="auto"/>
        <w:ind w:left="62" w:right="292" w:firstLine="691"/>
      </w:pPr>
      <w:r>
        <w:rPr>
          <w:sz w:val="30"/>
        </w:rPr>
        <w:t xml:space="preserve">Установлены основные требования к назначению и предоставлению мер социальной защиты (поддержки). </w:t>
      </w:r>
      <w:r>
        <w:t>Правительство утвердило единые требования к назначению и предоставлению мер соцзащиты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выплат.</w:t>
      </w:r>
    </w:p>
    <w:p w:rsidR="00617F79" w:rsidRDefault="00515044">
      <w:pPr>
        <w:ind w:left="71" w:right="287"/>
      </w:pPr>
      <w:r>
        <w:t xml:space="preserve">В частности, указанные процессы осуществляются в электронном виде посредством Единой цифровой платформы в социальной сфере или информационных систем госорганов и (или) организаций. Это происходит на основании заявления или в беззаявительном порядке (если такой порядок установлен ШЛА) с использованием сведений о реквизитах соответствующих банковских счетов граждан. Заявление можно подать через Единый портал или МФЦ, а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891" name="Picture 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" name="Picture 48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также в госорган (организацию).</w:t>
      </w:r>
    </w:p>
    <w:p w:rsidR="00617F79" w:rsidRDefault="00515044">
      <w:pPr>
        <w:ind w:left="10" w:right="287"/>
      </w:pPr>
      <w:r>
        <w:lastRenderedPageBreak/>
        <w:t xml:space="preserve">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Назначение и предоставление таких мер фиксируются подписанием УКЭП соответствующего решения на единой цифровой платформе или в информационной </w:t>
      </w:r>
      <w:bookmarkStart w:id="0" w:name="_GoBack"/>
      <w:bookmarkEnd w:id="0"/>
      <w:r>
        <w:t>системе.</w:t>
      </w:r>
    </w:p>
    <w:p w:rsidR="00617F79" w:rsidRDefault="00515044">
      <w:pPr>
        <w:ind w:left="725" w:right="287" w:firstLine="0"/>
      </w:pPr>
      <w:r>
        <w:t>Постановление вступает в силу с 1 января 2025 г.</w:t>
      </w:r>
    </w:p>
    <w:sectPr w:rsidR="00617F79" w:rsidSect="00070D55">
      <w:pgSz w:w="11698" w:h="16608"/>
      <w:pgMar w:top="749" w:right="586" w:bottom="421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F79"/>
    <w:rsid w:val="00070D55"/>
    <w:rsid w:val="00417008"/>
    <w:rsid w:val="00515044"/>
    <w:rsid w:val="0061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55"/>
    <w:pPr>
      <w:spacing w:after="5" w:line="251" w:lineRule="auto"/>
      <w:ind w:left="75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0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doma</cp:lastModifiedBy>
  <cp:revision>2</cp:revision>
  <dcterms:created xsi:type="dcterms:W3CDTF">2024-05-21T12:40:00Z</dcterms:created>
  <dcterms:modified xsi:type="dcterms:W3CDTF">2024-05-21T12:40:00Z</dcterms:modified>
</cp:coreProperties>
</file>